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color w:val="ff0000"/>
          <w:sz w:val="32"/>
          <w:szCs w:val="32"/>
        </w:rPr>
      </w:pPr>
      <w:r w:rsidDel="00000000" w:rsidR="00000000" w:rsidRPr="00000000">
        <w:rPr>
          <w:rtl w:val="0"/>
        </w:rPr>
      </w:r>
    </w:p>
    <w:p w:rsidR="00000000" w:rsidDel="00000000" w:rsidP="00000000" w:rsidRDefault="00000000" w:rsidRPr="00000000" w14:paraId="00000002">
      <w:pPr>
        <w:spacing w:line="240" w:lineRule="auto"/>
        <w:jc w:val="center"/>
        <w:rPr>
          <w:rFonts w:ascii="Titillium Web" w:cs="Titillium Web" w:eastAsia="Titillium Web" w:hAnsi="Titillium Web"/>
          <w:b w:val="1"/>
          <w:sz w:val="40"/>
          <w:szCs w:val="40"/>
        </w:rPr>
      </w:pPr>
      <w:r w:rsidDel="00000000" w:rsidR="00000000" w:rsidRPr="00000000">
        <w:rPr>
          <w:rFonts w:ascii="Titillium Web" w:cs="Titillium Web" w:eastAsia="Titillium Web" w:hAnsi="Titillium Web"/>
          <w:b w:val="1"/>
          <w:sz w:val="40"/>
          <w:szCs w:val="40"/>
          <w:rtl w:val="0"/>
        </w:rPr>
        <w:t xml:space="preserve">Pau Gasol se une a INDYA </w:t>
      </w:r>
    </w:p>
    <w:p w:rsidR="00000000" w:rsidDel="00000000" w:rsidP="00000000" w:rsidRDefault="00000000" w:rsidRPr="00000000" w14:paraId="00000003">
      <w:pPr>
        <w:spacing w:line="240" w:lineRule="auto"/>
        <w:jc w:val="center"/>
        <w:rPr>
          <w:rFonts w:ascii="Titillium Web" w:cs="Titillium Web" w:eastAsia="Titillium Web" w:hAnsi="Titillium Web"/>
          <w:sz w:val="24"/>
          <w:szCs w:val="24"/>
        </w:rPr>
      </w:pPr>
      <w:r w:rsidDel="00000000" w:rsidR="00000000" w:rsidRPr="00000000">
        <w:rPr>
          <w:rFonts w:ascii="Titillium Web" w:cs="Titillium Web" w:eastAsia="Titillium Web" w:hAnsi="Titillium Web"/>
          <w:b w:val="1"/>
          <w:sz w:val="40"/>
          <w:szCs w:val="40"/>
          <w:rtl w:val="0"/>
        </w:rPr>
        <w:t xml:space="preserve">como asesor y socio inversor </w:t>
      </w:r>
      <w:r w:rsidDel="00000000" w:rsidR="00000000" w:rsidRPr="00000000">
        <w:rPr>
          <w:rtl w:val="0"/>
        </w:rPr>
      </w:r>
    </w:p>
    <w:p w:rsidR="00000000" w:rsidDel="00000000" w:rsidP="00000000" w:rsidRDefault="00000000" w:rsidRPr="00000000" w14:paraId="00000004">
      <w:pPr>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Pau Gasol apuesta por la revolución tecnológica de la nutrición deportiva y continúa su apoyo al emprendimiento español.</w:t>
      </w:r>
    </w:p>
    <w:p w:rsidR="00000000" w:rsidDel="00000000" w:rsidP="00000000" w:rsidRDefault="00000000" w:rsidRPr="00000000" w14:paraId="00000006">
      <w:pPr>
        <w:numPr>
          <w:ilvl w:val="0"/>
          <w:numId w:val="1"/>
        </w:numPr>
        <w:ind w:left="720" w:hanging="360"/>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El presidente de la Gasol Foundation invierte por primera vez en una empresa valenciana. </w:t>
      </w:r>
    </w:p>
    <w:p w:rsidR="00000000" w:rsidDel="00000000" w:rsidP="00000000" w:rsidRDefault="00000000" w:rsidRPr="00000000" w14:paraId="00000007">
      <w:pPr>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08">
      <w:pPr>
        <w:ind w:left="0" w:firstLine="0"/>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b w:val="1"/>
          <w:sz w:val="24"/>
          <w:szCs w:val="24"/>
          <w:rtl w:val="0"/>
        </w:rPr>
        <w:t xml:space="preserve">Valencia, 19 de septiembre de 2022</w:t>
      </w:r>
      <w:r w:rsidDel="00000000" w:rsidR="00000000" w:rsidRPr="00000000">
        <w:rPr>
          <w:rFonts w:ascii="Titillium Web" w:cs="Titillium Web" w:eastAsia="Titillium Web" w:hAnsi="Titillium Web"/>
          <w:sz w:val="24"/>
          <w:szCs w:val="24"/>
          <w:rtl w:val="0"/>
        </w:rPr>
        <w:t xml:space="preserve">.- Pau Gasol se une como asesor y socio clave a la empresa tecnológica de nutrición deportiva INDYA. Se trata de una plataforma inteligente que permite crear y reajustar una planificación nutricional personalizada de manera automatizada y en tiempo real para cada deportista, adaptándose a los cambios fisiológicos, logísticos o de gustos que puedan darse en su día a día.</w:t>
      </w:r>
    </w:p>
    <w:p w:rsidR="00000000" w:rsidDel="00000000" w:rsidP="00000000" w:rsidRDefault="00000000" w:rsidRPr="00000000" w14:paraId="00000009">
      <w:pPr>
        <w:ind w:firstLine="720"/>
        <w:jc w:val="both"/>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0A">
      <w:pPr>
        <w:ind w:left="0" w:firstLine="0"/>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Dentro de su compromiso con el deporte y el apoyo al emprendimiento español, Pau Gasol ha decidido formar parte de la segunda ronda de inversión de INDYA.</w:t>
      </w:r>
    </w:p>
    <w:p w:rsidR="00000000" w:rsidDel="00000000" w:rsidP="00000000" w:rsidRDefault="00000000" w:rsidRPr="00000000" w14:paraId="0000000B">
      <w:pPr>
        <w:ind w:left="0" w:firstLine="0"/>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Con la incorporación de Gasol crece el panel de deportistas y exdeportistas profesionales que apuestan por esta innovadora empresa. Se une así a los pilotos de motociclismo Alex Rins o Aleix Espargaró.</w:t>
      </w:r>
    </w:p>
    <w:p w:rsidR="00000000" w:rsidDel="00000000" w:rsidP="00000000" w:rsidRDefault="00000000" w:rsidRPr="00000000" w14:paraId="0000000C">
      <w:pPr>
        <w:ind w:left="0" w:firstLine="0"/>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“Para nosotros –indica Javi Guerrero, CEO de INDYA–, que un referente histórico del deporte a nivel internacional como Pau se involucre en ayudarnos a crecer es un enorme reconocimiento al trabajo que llevamos haciendo estos diez años. Estamos llevando la nutrición a primera línea y este es el empujón para internacionalizar INDYA”. </w:t>
      </w:r>
    </w:p>
    <w:p w:rsidR="00000000" w:rsidDel="00000000" w:rsidP="00000000" w:rsidRDefault="00000000" w:rsidRPr="00000000" w14:paraId="0000000D">
      <w:pPr>
        <w:ind w:firstLine="720"/>
        <w:jc w:val="both"/>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0E">
      <w:pPr>
        <w:ind w:left="0" w:firstLine="0"/>
        <w:jc w:val="both"/>
        <w:rPr>
          <w:rFonts w:ascii="Titillium Web" w:cs="Titillium Web" w:eastAsia="Titillium Web" w:hAnsi="Titillium Web"/>
          <w:color w:val="ff0000"/>
          <w:sz w:val="24"/>
          <w:szCs w:val="24"/>
        </w:rPr>
      </w:pPr>
      <w:r w:rsidDel="00000000" w:rsidR="00000000" w:rsidRPr="00000000">
        <w:rPr>
          <w:rFonts w:ascii="Titillium Web" w:cs="Titillium Web" w:eastAsia="Titillium Web" w:hAnsi="Titillium Web"/>
          <w:sz w:val="24"/>
          <w:szCs w:val="24"/>
          <w:rtl w:val="0"/>
        </w:rPr>
        <w:t xml:space="preserve">INDYA permite cruzar su base de datos de nutrientes, alimentos y más de 7000 recetas </w:t>
      </w:r>
      <w:r w:rsidDel="00000000" w:rsidR="00000000" w:rsidRPr="00000000">
        <w:rPr>
          <w:rFonts w:ascii="Titillium Web" w:cs="Titillium Web" w:eastAsia="Titillium Web" w:hAnsi="Titillium Web"/>
          <w:sz w:val="24"/>
          <w:szCs w:val="24"/>
          <w:rtl w:val="0"/>
        </w:rPr>
        <w:t xml:space="preserve">ultratagueadas</w:t>
      </w:r>
      <w:r w:rsidDel="00000000" w:rsidR="00000000" w:rsidRPr="00000000">
        <w:rPr>
          <w:rFonts w:ascii="Titillium Web" w:cs="Titillium Web" w:eastAsia="Titillium Web" w:hAnsi="Titillium Web"/>
          <w:sz w:val="24"/>
          <w:szCs w:val="24"/>
          <w:rtl w:val="0"/>
        </w:rPr>
        <w:t xml:space="preserve"> con multitud de datos del deportista para crear planificaciones nutricionales personalizadas, flexibles y motivadoras. “La alimentación saludable es un pilar fundamental para la mejora del rendimiento deportivo. INDYA permite </w:t>
      </w:r>
      <w:r w:rsidDel="00000000" w:rsidR="00000000" w:rsidRPr="00000000">
        <w:rPr>
          <w:rFonts w:ascii="Titillium Web" w:cs="Titillium Web" w:eastAsia="Titillium Web" w:hAnsi="Titillium Web"/>
          <w:sz w:val="24"/>
          <w:szCs w:val="24"/>
          <w:rtl w:val="0"/>
        </w:rPr>
        <w:t xml:space="preserve">hacer accesible el </w:t>
      </w:r>
      <w:r w:rsidDel="00000000" w:rsidR="00000000" w:rsidRPr="00000000">
        <w:rPr>
          <w:rFonts w:ascii="Titillium Web" w:cs="Titillium Web" w:eastAsia="Titillium Web" w:hAnsi="Titillium Web"/>
          <w:sz w:val="24"/>
          <w:szCs w:val="24"/>
          <w:rtl w:val="0"/>
        </w:rPr>
        <w:t xml:space="preserve">conocimiento sobre nutrición en el ámbito deportivo no profesional. Además, la app aprovecha las ventajas de las nuevas tecnologías sin olvidar la atención por parte de un equipo experto y apasionado que te acompaña durante todo el proceso”, </w:t>
      </w:r>
      <w:r w:rsidDel="00000000" w:rsidR="00000000" w:rsidRPr="00000000">
        <w:rPr>
          <w:rFonts w:ascii="Titillium Web" w:cs="Titillium Web" w:eastAsia="Titillium Web" w:hAnsi="Titillium Web"/>
          <w:sz w:val="24"/>
          <w:szCs w:val="24"/>
          <w:rtl w:val="0"/>
        </w:rPr>
        <w:t xml:space="preserve">comenta Pau Gasol.   </w:t>
      </w:r>
      <w:r w:rsidDel="00000000" w:rsidR="00000000" w:rsidRPr="00000000">
        <w:rPr>
          <w:rtl w:val="0"/>
        </w:rPr>
      </w:r>
    </w:p>
    <w:p w:rsidR="00000000" w:rsidDel="00000000" w:rsidP="00000000" w:rsidRDefault="00000000" w:rsidRPr="00000000" w14:paraId="0000000F">
      <w:pPr>
        <w:ind w:firstLine="720"/>
        <w:jc w:val="both"/>
        <w:rPr>
          <w:rFonts w:ascii="Titillium Web" w:cs="Titillium Web" w:eastAsia="Titillium Web" w:hAnsi="Titillium Web"/>
          <w:color w:val="ff0000"/>
          <w:sz w:val="24"/>
          <w:szCs w:val="24"/>
        </w:rPr>
      </w:pPr>
      <w:r w:rsidDel="00000000" w:rsidR="00000000" w:rsidRPr="00000000">
        <w:rPr>
          <w:rtl w:val="0"/>
        </w:rPr>
      </w:r>
    </w:p>
    <w:p w:rsidR="00000000" w:rsidDel="00000000" w:rsidP="00000000" w:rsidRDefault="00000000" w:rsidRPr="00000000" w14:paraId="00000010">
      <w:pPr>
        <w:ind w:left="0" w:firstLine="0"/>
        <w:jc w:val="both"/>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“Vivimos en la era de los datos. La tecnología va a permitir personalizar la nutrición a niveles ahora inimaginables con el objetivo de mejorar el rendimiento de cualquier deportista. Pau sabe de la creciente importancia que la nutrición tiene en el deporte y confía en que podemos tener un impacto muy positivo a nivel global. </w:t>
      </w:r>
      <w:r w:rsidDel="00000000" w:rsidR="00000000" w:rsidRPr="00000000">
        <w:rPr>
          <w:rFonts w:ascii="Titillium Web" w:cs="Titillium Web" w:eastAsia="Titillium Web" w:hAnsi="Titillium Web"/>
          <w:sz w:val="24"/>
          <w:szCs w:val="24"/>
          <w:rtl w:val="0"/>
        </w:rPr>
        <w:t xml:space="preserve">Como CEO y nutricionista</w:t>
      </w:r>
      <w:r w:rsidDel="00000000" w:rsidR="00000000" w:rsidRPr="00000000">
        <w:rPr>
          <w:rFonts w:ascii="Titillium Web" w:cs="Titillium Web" w:eastAsia="Titillium Web" w:hAnsi="Titillium Web"/>
          <w:sz w:val="24"/>
          <w:szCs w:val="24"/>
          <w:rtl w:val="0"/>
        </w:rPr>
        <w:t xml:space="preserve">, para mí supone una motivación extra y una gran oportunidad que respalde así este proyecto”, declara Javi Guerrero. Gasol, junto con su equipo, lleva tres años siguiendo de cerca el negocio y comprobando cómo el proyecto sigue superando retos y consiguiendo los objetivos.</w:t>
      </w:r>
    </w:p>
    <w:p w:rsidR="00000000" w:rsidDel="00000000" w:rsidP="00000000" w:rsidRDefault="00000000" w:rsidRPr="00000000" w14:paraId="00000011">
      <w:pPr>
        <w:ind w:firstLine="720"/>
        <w:jc w:val="both"/>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12">
      <w:pPr>
        <w:ind w:left="0" w:firstLine="0"/>
        <w:rPr>
          <w:rFonts w:ascii="Titillium Web" w:cs="Titillium Web" w:eastAsia="Titillium Web" w:hAnsi="Titillium Web"/>
          <w:sz w:val="24"/>
          <w:szCs w:val="24"/>
        </w:rPr>
      </w:pPr>
      <w:r w:rsidDel="00000000" w:rsidR="00000000" w:rsidRPr="00000000">
        <w:rPr>
          <w:rFonts w:ascii="Titillium Web" w:cs="Titillium Web" w:eastAsia="Titillium Web" w:hAnsi="Titillium Web"/>
          <w:sz w:val="24"/>
          <w:szCs w:val="24"/>
          <w:rtl w:val="0"/>
        </w:rPr>
        <w:t xml:space="preserve">La colaboración entre Pau Gasol e INDYA va más allá de un acuerdo de  imagen o una inversión de capital. Mediante esta alianza, se pretende involucrar a INDYA en algunos de los proyectos de Pau, como ha sido la reciente participación en la Pau Gasol Academy by Santander, en la que INDYA se encargó de la parte de formación en nutrición y rendimiento deportivo. </w:t>
      </w:r>
      <w:r w:rsidDel="00000000" w:rsidR="00000000" w:rsidRPr="00000000">
        <w:rPr>
          <w:rFonts w:ascii="Titillium Web" w:cs="Titillium Web" w:eastAsia="Titillium Web" w:hAnsi="Titillium Web"/>
          <w:sz w:val="24"/>
          <w:szCs w:val="24"/>
          <w:rtl w:val="0"/>
        </w:rPr>
        <w:t xml:space="preserve">“La tecnología de INDYA tiene muchas posibilidades y permite acercar el mundo de la alimentación saludable a deportistas de todos los niveles. Hemos tenido una primera experiencia con la sección Rising Stars de la Academia de Pau, en la que los participantes han podido complementar su formación deportiva con conocimientos sobre nutrición y rendimiento deportivo. Ahora, queremos explorar cómo INDYA nos puede ayudar a concienciar sobre la importancia de la alimentación saludable en los proyectos que realizamos con la Gasol Foundation”, </w:t>
      </w:r>
      <w:r w:rsidDel="00000000" w:rsidR="00000000" w:rsidRPr="00000000">
        <w:rPr>
          <w:rFonts w:ascii="Titillium Web" w:cs="Titillium Web" w:eastAsia="Titillium Web" w:hAnsi="Titillium Web"/>
          <w:sz w:val="24"/>
          <w:szCs w:val="24"/>
          <w:rtl w:val="0"/>
        </w:rPr>
        <w:t xml:space="preserve">nos explica Laia Gilibets, Directora de Comunicación y Partnerships de Pau Gasol.</w:t>
      </w:r>
    </w:p>
    <w:p w:rsidR="00000000" w:rsidDel="00000000" w:rsidP="00000000" w:rsidRDefault="00000000" w:rsidRPr="00000000" w14:paraId="00000013">
      <w:pPr>
        <w:ind w:firstLine="720"/>
        <w:rPr>
          <w:rFonts w:ascii="Titillium Web" w:cs="Titillium Web" w:eastAsia="Titillium Web" w:hAnsi="Titillium Web"/>
          <w:sz w:val="24"/>
          <w:szCs w:val="24"/>
        </w:rPr>
      </w:pPr>
      <w:r w:rsidDel="00000000" w:rsidR="00000000" w:rsidRPr="00000000">
        <w:rPr>
          <w:rtl w:val="0"/>
        </w:rPr>
      </w:r>
    </w:p>
    <w:p w:rsidR="00000000" w:rsidDel="00000000" w:rsidP="00000000" w:rsidRDefault="00000000" w:rsidRPr="00000000" w14:paraId="00000014">
      <w:pPr>
        <w:ind w:left="0" w:firstLine="0"/>
        <w:rPr>
          <w:rFonts w:ascii="Titillium Web" w:cs="Titillium Web" w:eastAsia="Titillium Web" w:hAnsi="Titillium Web"/>
          <w:b w:val="1"/>
          <w:color w:val="999999"/>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ind w:left="0" w:firstLine="0"/>
        <w:rPr>
          <w:rFonts w:ascii="Titillium Web" w:cs="Titillium Web" w:eastAsia="Titillium Web" w:hAnsi="Titillium Web"/>
          <w:b w:val="1"/>
          <w:color w:val="999999"/>
          <w:sz w:val="24"/>
          <w:szCs w:val="24"/>
        </w:rPr>
      </w:pPr>
      <w:r w:rsidDel="00000000" w:rsidR="00000000" w:rsidRPr="00000000">
        <w:rPr>
          <w:rtl w:val="0"/>
        </w:rPr>
      </w:r>
    </w:p>
    <w:p w:rsidR="00000000" w:rsidDel="00000000" w:rsidP="00000000" w:rsidRDefault="00000000" w:rsidRPr="00000000" w14:paraId="00000016">
      <w:pPr>
        <w:ind w:left="0" w:firstLine="0"/>
        <w:rPr>
          <w:rFonts w:ascii="Titillium Web" w:cs="Titillium Web" w:eastAsia="Titillium Web" w:hAnsi="Titillium Web"/>
          <w:color w:val="999999"/>
          <w:sz w:val="24"/>
          <w:szCs w:val="24"/>
        </w:rPr>
      </w:pPr>
      <w:r w:rsidDel="00000000" w:rsidR="00000000" w:rsidRPr="00000000">
        <w:rPr>
          <w:rFonts w:ascii="Titillium Web" w:cs="Titillium Web" w:eastAsia="Titillium Web" w:hAnsi="Titillium Web"/>
          <w:b w:val="1"/>
          <w:color w:val="999999"/>
          <w:sz w:val="24"/>
          <w:szCs w:val="24"/>
          <w:rtl w:val="0"/>
        </w:rPr>
        <w:t xml:space="preserve">Sobre Indya</w:t>
      </w:r>
      <w:r w:rsidDel="00000000" w:rsidR="00000000" w:rsidRPr="00000000">
        <w:rPr>
          <w:rtl w:val="0"/>
        </w:rPr>
      </w:r>
    </w:p>
    <w:p w:rsidR="00000000" w:rsidDel="00000000" w:rsidP="00000000" w:rsidRDefault="00000000" w:rsidRPr="00000000" w14:paraId="00000017">
      <w:pPr>
        <w:ind w:left="0" w:firstLine="0"/>
        <w:jc w:val="both"/>
        <w:rPr>
          <w:rFonts w:ascii="Titillium Web" w:cs="Titillium Web" w:eastAsia="Titillium Web" w:hAnsi="Titillium Web"/>
          <w:color w:val="999999"/>
          <w:sz w:val="24"/>
          <w:szCs w:val="24"/>
        </w:rPr>
      </w:pPr>
      <w:r w:rsidDel="00000000" w:rsidR="00000000" w:rsidRPr="00000000">
        <w:rPr>
          <w:rFonts w:ascii="Titillium Web" w:cs="Titillium Web" w:eastAsia="Titillium Web" w:hAnsi="Titillium Web"/>
          <w:color w:val="999999"/>
          <w:sz w:val="24"/>
          <w:szCs w:val="24"/>
          <w:rtl w:val="0"/>
        </w:rPr>
        <w:t xml:space="preserve">INDYA lleva diez años en el sector de la nutrición, trabajando con deportistas de élite y participando en proyectos deportivos de máximo nivel como F1 o Moto GP. Por su plataforma ya han pasado casi 11 000 deportistas amateur de todos los niveles y desde hace dos años ha dado el salto tecnológico para convertirse en un referente nacional de la nutrición deportiva.</w:t>
      </w:r>
      <w:r w:rsidDel="00000000" w:rsidR="00000000" w:rsidRPr="00000000">
        <w:rPr>
          <w:rtl w:val="0"/>
        </w:rPr>
      </w:r>
    </w:p>
    <w:p w:rsidR="00000000" w:rsidDel="00000000" w:rsidP="00000000" w:rsidRDefault="00000000" w:rsidRPr="00000000" w14:paraId="00000018">
      <w:pPr>
        <w:ind w:left="0" w:firstLine="0"/>
        <w:rPr>
          <w:rFonts w:ascii="Titillium Web" w:cs="Titillium Web" w:eastAsia="Titillium Web" w:hAnsi="Titillium Web"/>
          <w:color w:val="999999"/>
          <w:sz w:val="24"/>
          <w:szCs w:val="24"/>
        </w:rPr>
      </w:pPr>
      <w:r w:rsidDel="00000000" w:rsidR="00000000" w:rsidRPr="00000000">
        <w:rPr>
          <w:rtl w:val="0"/>
        </w:rPr>
      </w:r>
    </w:p>
    <w:p w:rsidR="00000000" w:rsidDel="00000000" w:rsidP="00000000" w:rsidRDefault="00000000" w:rsidRPr="00000000" w14:paraId="00000019">
      <w:pPr>
        <w:ind w:left="0" w:firstLine="0"/>
        <w:rPr>
          <w:rFonts w:ascii="Titillium Web" w:cs="Titillium Web" w:eastAsia="Titillium Web" w:hAnsi="Titillium Web"/>
          <w:b w:val="1"/>
          <w:color w:val="999999"/>
          <w:sz w:val="24"/>
          <w:szCs w:val="24"/>
        </w:rPr>
      </w:pPr>
      <w:r w:rsidDel="00000000" w:rsidR="00000000" w:rsidRPr="00000000">
        <w:rPr>
          <w:rFonts w:ascii="Titillium Web" w:cs="Titillium Web" w:eastAsia="Titillium Web" w:hAnsi="Titillium Web"/>
          <w:b w:val="1"/>
          <w:color w:val="999999"/>
          <w:sz w:val="24"/>
          <w:szCs w:val="24"/>
          <w:rtl w:val="0"/>
        </w:rPr>
        <w:t xml:space="preserve">Contacto de prensa:</w:t>
      </w:r>
    </w:p>
    <w:p w:rsidR="00000000" w:rsidDel="00000000" w:rsidP="00000000" w:rsidRDefault="00000000" w:rsidRPr="00000000" w14:paraId="0000001A">
      <w:pPr>
        <w:ind w:left="0" w:firstLine="0"/>
        <w:rPr>
          <w:rFonts w:ascii="Titillium Web" w:cs="Titillium Web" w:eastAsia="Titillium Web" w:hAnsi="Titillium Web"/>
          <w:color w:val="999999"/>
          <w:sz w:val="24"/>
          <w:szCs w:val="24"/>
        </w:rPr>
      </w:pPr>
      <w:r w:rsidDel="00000000" w:rsidR="00000000" w:rsidRPr="00000000">
        <w:rPr>
          <w:rFonts w:ascii="Titillium Web" w:cs="Titillium Web" w:eastAsia="Titillium Web" w:hAnsi="Titillium Web"/>
          <w:color w:val="999999"/>
          <w:sz w:val="24"/>
          <w:szCs w:val="24"/>
          <w:rtl w:val="0"/>
        </w:rPr>
        <w:t xml:space="preserve">Laia Gilibets</w:t>
      </w:r>
    </w:p>
    <w:p w:rsidR="00000000" w:rsidDel="00000000" w:rsidP="00000000" w:rsidRDefault="00000000" w:rsidRPr="00000000" w14:paraId="0000001B">
      <w:pPr>
        <w:ind w:left="0" w:firstLine="0"/>
        <w:rPr>
          <w:rFonts w:ascii="Titillium Web" w:cs="Titillium Web" w:eastAsia="Titillium Web" w:hAnsi="Titillium Web"/>
          <w:color w:val="999999"/>
          <w:sz w:val="24"/>
          <w:szCs w:val="24"/>
        </w:rPr>
      </w:pPr>
      <w:r w:rsidDel="00000000" w:rsidR="00000000" w:rsidRPr="00000000">
        <w:rPr>
          <w:rFonts w:ascii="Titillium Web" w:cs="Titillium Web" w:eastAsia="Titillium Web" w:hAnsi="Titillium Web"/>
          <w:color w:val="999999"/>
          <w:sz w:val="24"/>
          <w:szCs w:val="24"/>
          <w:rtl w:val="0"/>
        </w:rPr>
        <w:t xml:space="preserve">Responsable de comunicación de Pau Gasol</w:t>
      </w:r>
    </w:p>
    <w:p w:rsidR="00000000" w:rsidDel="00000000" w:rsidP="00000000" w:rsidRDefault="00000000" w:rsidRPr="00000000" w14:paraId="0000001C">
      <w:pPr>
        <w:ind w:left="0" w:firstLine="0"/>
        <w:rPr>
          <w:rFonts w:ascii="Titillium Web" w:cs="Titillium Web" w:eastAsia="Titillium Web" w:hAnsi="Titillium Web"/>
          <w:color w:val="999999"/>
          <w:sz w:val="24"/>
          <w:szCs w:val="24"/>
        </w:rPr>
      </w:pPr>
      <w:r w:rsidDel="00000000" w:rsidR="00000000" w:rsidRPr="00000000">
        <w:rPr>
          <w:rFonts w:ascii="Titillium Web" w:cs="Titillium Web" w:eastAsia="Titillium Web" w:hAnsi="Titillium Web"/>
          <w:color w:val="999999"/>
          <w:sz w:val="24"/>
          <w:szCs w:val="24"/>
          <w:rtl w:val="0"/>
        </w:rPr>
        <w:t xml:space="preserve">laia.gilibets@paugasol.com</w:t>
      </w:r>
    </w:p>
    <w:p w:rsidR="00000000" w:rsidDel="00000000" w:rsidP="00000000" w:rsidRDefault="00000000" w:rsidRPr="00000000" w14:paraId="0000001D">
      <w:pPr>
        <w:rPr>
          <w:sz w:val="24"/>
          <w:szCs w:val="24"/>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tillium Web">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-752474</wp:posOffset>
          </wp:positionH>
          <wp:positionV relativeFrom="paragraph">
            <wp:posOffset>-138112</wp:posOffset>
          </wp:positionV>
          <wp:extent cx="5389245" cy="867410"/>
          <wp:effectExtent b="0" l="0" r="0" t="0"/>
          <wp:wrapNone/>
          <wp:docPr id="2" name="image1.png"/>
          <a:graphic>
            <a:graphicData uri="http://schemas.openxmlformats.org/drawingml/2006/picture">
              <pic:pic>
                <pic:nvPicPr>
                  <pic:cNvPr id="0" name="image1.png"/>
                  <pic:cNvPicPr preferRelativeResize="0"/>
                </pic:nvPicPr>
                <pic:blipFill>
                  <a:blip r:embed="rId1"/>
                  <a:srcRect b="18568" l="0" r="0" t="11895"/>
                  <a:stretch>
                    <a:fillRect/>
                  </a:stretch>
                </pic:blipFill>
                <pic:spPr>
                  <a:xfrm>
                    <a:off x="0" y="0"/>
                    <a:ext cx="5389245" cy="867410"/>
                  </a:xfrm>
                  <a:prstGeom prst="rect"/>
                  <a:ln/>
                </pic:spPr>
              </pic:pic>
            </a:graphicData>
          </a:graphic>
        </wp:anchor>
      </w:drawing>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-911061</wp:posOffset>
              </wp:positionH>
              <wp:positionV relativeFrom="paragraph">
                <wp:posOffset>-324430</wp:posOffset>
              </wp:positionV>
              <wp:extent cx="7553960" cy="1239716"/>
              <wp:effectExtent b="0" l="0" r="0" t="0"/>
              <wp:wrapNone/>
              <wp:docPr id="1" name=""/>
              <a:graphic>
                <a:graphicData uri="http://schemas.microsoft.com/office/word/2010/wordprocessingShape">
                  <wps:wsp>
                    <wps:cNvSpPr/>
                    <wps:cNvPr id="2" name="Shape 2"/>
                    <wps:spPr>
                      <a:xfrm>
                        <a:off x="1575370" y="3166492"/>
                        <a:ext cx="7541260" cy="1227016"/>
                      </a:xfrm>
                      <a:prstGeom prst="rect">
                        <a:avLst/>
                      </a:prstGeom>
                      <a:solidFill>
                        <a:schemeClr val="dk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-911061</wp:posOffset>
              </wp:positionH>
              <wp:positionV relativeFrom="paragraph">
                <wp:posOffset>-324430</wp:posOffset>
              </wp:positionV>
              <wp:extent cx="7553960" cy="1239716"/>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553960" cy="1239716"/>
                      </a:xfrm>
                      <a:prstGeom prst="rect"/>
                      <a:ln/>
                    </pic:spPr>
                  </pic:pic>
                </a:graphicData>
              </a:graphic>
            </wp:anchor>
          </w:drawing>
        </mc:Fallback>
      </mc:AlternateConten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Revisin">
    <w:name w:val="Revision"/>
    <w:hidden w:val="1"/>
    <w:uiPriority w:val="99"/>
    <w:semiHidden w:val="1"/>
    <w:rsid w:val="00FF2502"/>
    <w:pPr>
      <w:spacing w:line="240" w:lineRule="auto"/>
    </w:pPr>
  </w:style>
  <w:style w:type="character" w:styleId="Refdecomentario">
    <w:name w:val="annotation reference"/>
    <w:basedOn w:val="Fuentedeprrafopredeter"/>
    <w:uiPriority w:val="99"/>
    <w:semiHidden w:val="1"/>
    <w:unhideWhenUsed w:val="1"/>
    <w:rsid w:val="00235623"/>
    <w:rPr>
      <w:sz w:val="16"/>
      <w:szCs w:val="16"/>
    </w:rPr>
  </w:style>
  <w:style w:type="paragraph" w:styleId="Textocomentario">
    <w:name w:val="annotation text"/>
    <w:basedOn w:val="Normal"/>
    <w:link w:val="TextocomentarioCar"/>
    <w:uiPriority w:val="99"/>
    <w:semiHidden w:val="1"/>
    <w:unhideWhenUsed w:val="1"/>
    <w:rsid w:val="00235623"/>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235623"/>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235623"/>
    <w:rPr>
      <w:b w:val="1"/>
      <w:bCs w:val="1"/>
    </w:rPr>
  </w:style>
  <w:style w:type="character" w:styleId="AsuntodelcomentarioCar" w:customStyle="1">
    <w:name w:val="Asunto del comentario Car"/>
    <w:basedOn w:val="TextocomentarioCar"/>
    <w:link w:val="Asuntodelcomentario"/>
    <w:uiPriority w:val="99"/>
    <w:semiHidden w:val="1"/>
    <w:rsid w:val="00235623"/>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itilliumWeb-regular.ttf"/><Relationship Id="rId2" Type="http://schemas.openxmlformats.org/officeDocument/2006/relationships/font" Target="fonts/TitilliumWeb-bold.ttf"/><Relationship Id="rId3" Type="http://schemas.openxmlformats.org/officeDocument/2006/relationships/font" Target="fonts/TitilliumWeb-italic.ttf"/><Relationship Id="rId4" Type="http://schemas.openxmlformats.org/officeDocument/2006/relationships/font" Target="fonts/TitilliumWeb-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QguEuR0pH+J7xhqgdR0ZaROcCQ==">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2022-09-15T17:00:00Z</dcterms:created>
</cp:coreProperties>
</file>